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2969">
      <w:pPr>
        <w:kinsoku/>
        <w:topLinePunct/>
        <w:autoSpaceDE/>
        <w:autoSpaceDN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附件1</w:t>
      </w:r>
    </w:p>
    <w:p w14:paraId="7D1996AF">
      <w:pPr>
        <w:kinsoku/>
        <w:topLinePunct/>
        <w:autoSpaceDE/>
        <w:autoSpaceDN/>
        <w:spacing w:line="700" w:lineRule="exact"/>
        <w:jc w:val="both"/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</w:pPr>
    </w:p>
    <w:p w14:paraId="67AA28EB">
      <w:pPr>
        <w:kinsoku/>
        <w:topLinePunct/>
        <w:autoSpaceDE/>
        <w:autoSpaceDN/>
        <w:jc w:val="center"/>
        <w:rPr>
          <w:rFonts w:hint="default" w:ascii="Times New Roman" w:hAnsi="Times New Roman" w:eastAsia="方正小标宋简体" w:cs="Times New Roman"/>
          <w:spacing w:val="-2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141605</wp:posOffset>
                </wp:positionV>
                <wp:extent cx="6350" cy="317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3175"/>
                        </a:xfrm>
                        <a:prstGeom prst="rect">
                          <a:avLst/>
                        </a:prstGeom>
                        <a:solidFill>
                          <a:srgbClr val="F8404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15pt;margin-top:11.15pt;height:0.25pt;width:0.5pt;z-index:251659264;mso-width-relative:page;mso-height-relative:page;" fillcolor="#F84047" filled="t" stroked="f" coordsize="21600,21600" o:gfxdata="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01eXNYAAAAJ&#10;AQAADwAAAAAAAAABACAAAAAiAAAAZHJzL2Rvd25yZXYueG1sUEsBAhQAFAAAAAgAh07iQMFfXWGs&#10;AQAAWgMAAA4AAAAAAAAAAQAgAAAAJQ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pacing w:val="-2"/>
          <w:sz w:val="40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2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"/>
          <w:sz w:val="40"/>
          <w:szCs w:val="40"/>
          <w:highlight w:val="none"/>
          <w:lang w:eastAsia="zh-CN"/>
        </w:rPr>
        <w:t>年度</w:t>
      </w:r>
      <w:r>
        <w:rPr>
          <w:rFonts w:hint="eastAsia" w:ascii="Times New Roman" w:hAnsi="Times New Roman" w:eastAsia="方正小标宋简体" w:cs="Times New Roman"/>
          <w:spacing w:val="-2"/>
          <w:sz w:val="40"/>
          <w:szCs w:val="40"/>
          <w:highlight w:val="none"/>
          <w:lang w:val="en-US" w:eastAsia="zh-CN"/>
        </w:rPr>
        <w:t>“铸牢中华民族共同体意识”</w:t>
      </w:r>
    </w:p>
    <w:p w14:paraId="5BC5E5FB">
      <w:pPr>
        <w:kinsoku/>
        <w:topLinePunct/>
        <w:autoSpaceDE/>
        <w:autoSpaceDN/>
        <w:jc w:val="center"/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  <w:t>重大专项研究课题选题指南</w:t>
      </w:r>
    </w:p>
    <w:bookmarkEnd w:id="0"/>
    <w:p w14:paraId="133651CD">
      <w:pPr>
        <w:pStyle w:val="2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25FAE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1.中华民族共同体和人类命运共同体关系研究</w:t>
      </w:r>
    </w:p>
    <w:p w14:paraId="1BDEA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2.树立和践行正确政绩观对增强中华民族共同体意识作用研究</w:t>
      </w:r>
    </w:p>
    <w:p w14:paraId="09B89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3.地方高校铸牢中华民族共同体意识路径研究</w:t>
      </w:r>
    </w:p>
    <w:p w14:paraId="50D76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4.《民族团结进步促进法》地方实施路径研究</w:t>
      </w:r>
    </w:p>
    <w:p w14:paraId="6CCCF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5.《二十四史》叙事对促进中华民族共同体形成作用研究</w:t>
      </w:r>
    </w:p>
    <w:p w14:paraId="68BAC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6.中国传统“大一统”思想嬗变对增强中华民族共同体意识作用研究</w:t>
      </w:r>
    </w:p>
    <w:p w14:paraId="0B4D5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7.边贸互市对铸牢中华民族共同体意识作用研究</w:t>
      </w:r>
    </w:p>
    <w:p w14:paraId="2FDB7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8.和亲文化对促进中华民族共同体进程作用研究</w:t>
      </w:r>
    </w:p>
    <w:p w14:paraId="037C3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9.山西在中华文明起源与发展中的地位与贡献研究</w:t>
      </w:r>
    </w:p>
    <w:p w14:paraId="3CF7D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10.中华民族共同体视域下山西民族史研究</w:t>
      </w:r>
    </w:p>
    <w:p w14:paraId="63A8D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11.中华民族共同体意识在山西的生成、发展和特征研究</w:t>
      </w:r>
    </w:p>
    <w:p w14:paraId="338B3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12.中华民族共同体视域下晋北民俗研究</w:t>
      </w:r>
    </w:p>
    <w:p w14:paraId="65EBA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13.晋北农事活动与民族融合关系研究</w:t>
      </w:r>
    </w:p>
    <w:p w14:paraId="14397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14.晋冀蒙长城沿线区域民族交往交流交融的实践研究</w:t>
      </w:r>
    </w:p>
    <w:p w14:paraId="433AB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15.桑干河流域中华民族共同体形成与发展的实践研究</w:t>
      </w:r>
    </w:p>
    <w:p w14:paraId="0CDE0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16.文旅促进民族交往交流交融的地方实践研究</w:t>
      </w:r>
    </w:p>
    <w:p w14:paraId="34A49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17.北魏平城与中华民族共同体的历史证见研究</w:t>
      </w:r>
    </w:p>
    <w:p w14:paraId="2C91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18.云冈石窟蕴含的中华民族共同体意识研究</w:t>
      </w:r>
    </w:p>
    <w:p w14:paraId="41000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19.云冈学学科体系话语构建研究</w:t>
      </w:r>
    </w:p>
    <w:p w14:paraId="5C58D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20.云冈文化的世界意义与文明互鉴研究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CCC2">
    <w:pPr>
      <w:pStyle w:val="3"/>
      <w:framePr w:wrap="around" w:vAnchor="text" w:hAnchor="margin" w:xAlign="outside" w:y="1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13326F59">
    <w:pPr>
      <w:spacing w:line="14" w:lineRule="auto"/>
      <w:ind w:right="360" w:firstLine="36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E0187"/>
    <w:rsid w:val="53E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2026-06-01T08:08:00Z</dcterms:created>
  <dc:creator>oiox98586</dc:creator>
  <cp:lastModifiedBy>oiox98586</cp:lastModifiedBy>
  <dcterms:modified xsi:type="dcterms:W3CDTF">2026-06-01T08:09:31Z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FC4BB8EE68744BC599951FEFED31EBE7_11</vt:lpwstr>
  </property>
  <property fmtid="{D5CDD505-2E9C-101B-9397-08002B2CF9AE}" pid="4" name="KSOTemplateDocerSaveRecord">
    <vt:lpwstr>eyJoZGlkIjoiNDhhM2E1YzNkZjIyYTAzZDY1Mjc2MmFmNGNjNmQ4YzAifQ==</vt:lpwstr>
  </property>
</Properties>
</file>